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97E45" w14:textId="6D9FFE18" w:rsidR="009F44AD" w:rsidRDefault="009F44AD" w:rsidP="009F44AD">
      <w:pPr>
        <w:pStyle w:val="3GPPHeader"/>
        <w:spacing w:after="60"/>
      </w:pPr>
      <w:r>
        <w:t>3G</w:t>
      </w:r>
      <w:r w:rsidR="003C4CC3">
        <w:t xml:space="preserve">PP TSG-RAN WG2 NR AH1801 </w:t>
      </w:r>
      <w:r w:rsidR="003C4CC3">
        <w:tab/>
      </w:r>
      <w:r>
        <w:t>R2-18</w:t>
      </w:r>
      <w:r w:rsidR="00533F9A">
        <w:t>01023</w:t>
      </w:r>
      <w:r>
        <w:t xml:space="preserve"> </w:t>
      </w:r>
    </w:p>
    <w:p w14:paraId="02F49E69" w14:textId="543B6240" w:rsidR="00280DD1" w:rsidRDefault="009F44AD" w:rsidP="009F44AD">
      <w:pPr>
        <w:pStyle w:val="3GPPHeader"/>
        <w:spacing w:after="60"/>
      </w:pPr>
      <w:r>
        <w:t>Vancouver, Canada, Jan 22</w:t>
      </w:r>
      <w:r w:rsidR="003C4CC3">
        <w:t>nd</w:t>
      </w:r>
      <w:r>
        <w:t xml:space="preserve"> – 26th, 2018 </w:t>
      </w:r>
    </w:p>
    <w:p w14:paraId="7D6DD192" w14:textId="77777777" w:rsidR="00E90E49" w:rsidRPr="00CE0424" w:rsidRDefault="00E90E49" w:rsidP="00357380">
      <w:pPr>
        <w:pStyle w:val="3GPPHeader"/>
      </w:pPr>
    </w:p>
    <w:p w14:paraId="790DCD6B" w14:textId="760E0CA7" w:rsidR="00E90E49" w:rsidRPr="003C4CC3" w:rsidRDefault="00E90E49" w:rsidP="00311702">
      <w:pPr>
        <w:pStyle w:val="3GPPHeader"/>
        <w:rPr>
          <w:sz w:val="22"/>
          <w:szCs w:val="22"/>
          <w:lang w:val="en-US"/>
        </w:rPr>
      </w:pPr>
      <w:r w:rsidRPr="003C4CC3">
        <w:rPr>
          <w:sz w:val="22"/>
          <w:szCs w:val="22"/>
          <w:lang w:val="en-US"/>
        </w:rPr>
        <w:t>Agenda Item:</w:t>
      </w:r>
      <w:r w:rsidRPr="003C4CC3">
        <w:rPr>
          <w:sz w:val="22"/>
          <w:szCs w:val="22"/>
          <w:lang w:val="en-US"/>
        </w:rPr>
        <w:tab/>
      </w:r>
      <w:r w:rsidR="00533F9A" w:rsidRPr="003C4CC3">
        <w:rPr>
          <w:sz w:val="22"/>
          <w:szCs w:val="22"/>
          <w:lang w:val="en-US"/>
        </w:rPr>
        <w:t>11.1</w:t>
      </w:r>
    </w:p>
    <w:p w14:paraId="218E6AB3" w14:textId="77777777" w:rsidR="00E90E49" w:rsidRPr="00533F9A" w:rsidRDefault="003D3C45" w:rsidP="00F64C2B">
      <w:pPr>
        <w:pStyle w:val="3GPPHeader"/>
        <w:rPr>
          <w:sz w:val="22"/>
          <w:szCs w:val="22"/>
        </w:rPr>
      </w:pPr>
      <w:r w:rsidRPr="00533F9A">
        <w:rPr>
          <w:sz w:val="22"/>
          <w:szCs w:val="22"/>
        </w:rPr>
        <w:t>Source:</w:t>
      </w:r>
      <w:r w:rsidR="00E90E49" w:rsidRPr="00533F9A">
        <w:rPr>
          <w:sz w:val="22"/>
          <w:szCs w:val="22"/>
        </w:rPr>
        <w:tab/>
      </w:r>
      <w:r w:rsidR="00F64C2B" w:rsidRPr="00533F9A">
        <w:rPr>
          <w:sz w:val="22"/>
          <w:szCs w:val="22"/>
        </w:rPr>
        <w:t>Ericsson</w:t>
      </w:r>
    </w:p>
    <w:p w14:paraId="6FA00CFF" w14:textId="4F55B421" w:rsidR="00E90E49" w:rsidRPr="00533F9A" w:rsidRDefault="003D3C45" w:rsidP="00311702">
      <w:pPr>
        <w:pStyle w:val="3GPPHeader"/>
        <w:rPr>
          <w:sz w:val="22"/>
          <w:szCs w:val="22"/>
        </w:rPr>
      </w:pPr>
      <w:r w:rsidRPr="00533F9A">
        <w:rPr>
          <w:sz w:val="22"/>
          <w:szCs w:val="22"/>
        </w:rPr>
        <w:t>Title:</w:t>
      </w:r>
      <w:r w:rsidR="00E90E49" w:rsidRPr="00533F9A">
        <w:rPr>
          <w:sz w:val="22"/>
          <w:szCs w:val="22"/>
        </w:rPr>
        <w:tab/>
      </w:r>
      <w:r w:rsidR="00E62C20" w:rsidRPr="00533F9A">
        <w:rPr>
          <w:sz w:val="22"/>
          <w:szCs w:val="22"/>
        </w:rPr>
        <w:t>Support for EN-DC for IAB</w:t>
      </w:r>
    </w:p>
    <w:p w14:paraId="6A1F86C6" w14:textId="77777777" w:rsidR="00E90E49" w:rsidRPr="00533F9A" w:rsidRDefault="00E90E49" w:rsidP="00D546FF">
      <w:pPr>
        <w:pStyle w:val="3GPPHeader"/>
        <w:rPr>
          <w:sz w:val="22"/>
          <w:szCs w:val="22"/>
        </w:rPr>
      </w:pPr>
      <w:r w:rsidRPr="00533F9A">
        <w:rPr>
          <w:sz w:val="22"/>
          <w:szCs w:val="22"/>
        </w:rPr>
        <w:t>Document for:</w:t>
      </w:r>
      <w:r w:rsidRPr="00533F9A">
        <w:rPr>
          <w:sz w:val="22"/>
          <w:szCs w:val="22"/>
        </w:rPr>
        <w:tab/>
        <w:t>Discussion, Decision</w:t>
      </w:r>
    </w:p>
    <w:p w14:paraId="76A9BC2F" w14:textId="77777777" w:rsidR="00C24345" w:rsidRDefault="00E90E49" w:rsidP="00A2052C">
      <w:pPr>
        <w:pStyle w:val="Heading1"/>
      </w:pPr>
      <w:r w:rsidRPr="00CE0424">
        <w:t>Introduction</w:t>
      </w:r>
    </w:p>
    <w:p w14:paraId="42C7ADBF" w14:textId="7FEBCECC" w:rsidR="00C13009" w:rsidRPr="00A04098" w:rsidRDefault="00C63B99" w:rsidP="00A2052C">
      <w:r>
        <w:t xml:space="preserve">The study item on integrated access and backhaul aims at supporting NR </w:t>
      </w:r>
      <w:r w:rsidR="002270D0">
        <w:t>nodes/</w:t>
      </w:r>
      <w:r>
        <w:t>cells</w:t>
      </w:r>
      <w:r w:rsidR="002270D0">
        <w:t xml:space="preserve"> (in this paper called IAB </w:t>
      </w:r>
      <w:r w:rsidR="002270D0" w:rsidRPr="00A04098">
        <w:t>nodes) which</w:t>
      </w:r>
      <w:r w:rsidRPr="00A04098">
        <w:t xml:space="preserve"> are self-backhauled using the NR radio interface to other NR nodes</w:t>
      </w:r>
      <w:r w:rsidR="002270D0" w:rsidRPr="00A04098">
        <w:t xml:space="preserve"> (gNBs)</w:t>
      </w:r>
      <w:r w:rsidRPr="00A04098">
        <w:t xml:space="preserve"> which are connected to a traditional transport network. </w:t>
      </w:r>
      <w:r w:rsidR="00E62C20" w:rsidRPr="00A04098">
        <w:t xml:space="preserve">The purpose of this contribution is to discuss if integrated access and backhaul should be supported </w:t>
      </w:r>
      <w:r w:rsidR="00C13009" w:rsidRPr="00A04098">
        <w:t xml:space="preserve">both when using stand-alone NR and </w:t>
      </w:r>
      <w:r w:rsidR="00E62C20" w:rsidRPr="00A04098">
        <w:t>when using EN-DC on the access and</w:t>
      </w:r>
      <w:r w:rsidR="00C13009" w:rsidRPr="00A04098">
        <w:t>/or</w:t>
      </w:r>
      <w:r w:rsidR="00E62C20" w:rsidRPr="00A04098">
        <w:t xml:space="preserve"> on the backhaul link. </w:t>
      </w:r>
    </w:p>
    <w:p w14:paraId="68A551BB" w14:textId="7971B64E" w:rsidR="00A2052C" w:rsidRDefault="00E62C20" w:rsidP="00A2052C">
      <w:r w:rsidRPr="00A04098">
        <w:t xml:space="preserve">The paper concludes that it should be possible to support IAB </w:t>
      </w:r>
      <w:r w:rsidR="00007464" w:rsidRPr="00A04098">
        <w:t xml:space="preserve">both for </w:t>
      </w:r>
      <w:r w:rsidR="003D7269" w:rsidRPr="00A04098">
        <w:t>stand-alone</w:t>
      </w:r>
      <w:r w:rsidR="00007464" w:rsidRPr="00A04098">
        <w:t xml:space="preserve"> NR and for EN-DC</w:t>
      </w:r>
      <w:r w:rsidRPr="00A04098">
        <w:t xml:space="preserve"> on the access</w:t>
      </w:r>
      <w:r w:rsidR="003D7269" w:rsidRPr="00A04098">
        <w:t xml:space="preserve"> link. For the backhaul link it is expected that stand-alone NR is more likely </w:t>
      </w:r>
      <w:r w:rsidR="00A04098" w:rsidRPr="00A04098">
        <w:t>and support for EN-DC is FFS</w:t>
      </w:r>
      <w:r w:rsidR="003D7269" w:rsidRPr="00A04098">
        <w:t xml:space="preserve">. </w:t>
      </w:r>
    </w:p>
    <w:p w14:paraId="7FC1A92E" w14:textId="25D4F7A7" w:rsidR="00007464" w:rsidRDefault="00007464" w:rsidP="00007464">
      <w:pPr>
        <w:pStyle w:val="Heading1"/>
      </w:pPr>
      <w:bookmarkStart w:id="0" w:name="_Ref178064866"/>
      <w:r>
        <w:t>Using stand-alone NR for access and backhaul link</w:t>
      </w:r>
    </w:p>
    <w:p w14:paraId="778F224B" w14:textId="193B73A6" w:rsidR="00007464" w:rsidRDefault="00007464" w:rsidP="00007464">
      <w:r>
        <w:t xml:space="preserve">It is assumed integrated access and backhaul should be supported also in stand-alone NR deployment, for this reason we assume that the standard should support IAB also when using stand-alone NR both </w:t>
      </w:r>
      <w:r w:rsidR="002270D0">
        <w:t xml:space="preserve">on the access and backhaul link to allow full NR only deployments as shown in the figure below. </w:t>
      </w:r>
    </w:p>
    <w:p w14:paraId="18D060DA" w14:textId="77777777" w:rsidR="002270D0" w:rsidRDefault="002270D0" w:rsidP="003C4CC3">
      <w:pPr>
        <w:jc w:val="center"/>
      </w:pPr>
      <w:r w:rsidRPr="002270D0">
        <w:rPr>
          <w:noProof/>
        </w:rPr>
        <w:drawing>
          <wp:inline distT="0" distB="0" distL="0" distR="0" wp14:anchorId="17CC7924" wp14:editId="20138DAC">
            <wp:extent cx="3637280" cy="2190750"/>
            <wp:effectExtent l="0" t="0" r="127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7280" cy="2190750"/>
                    </a:xfrm>
                    <a:prstGeom prst="rect">
                      <a:avLst/>
                    </a:prstGeom>
                    <a:noFill/>
                    <a:ln>
                      <a:noFill/>
                    </a:ln>
                  </pic:spPr>
                </pic:pic>
              </a:graphicData>
            </a:graphic>
          </wp:inline>
        </w:drawing>
      </w:r>
    </w:p>
    <w:p w14:paraId="3DFD9321" w14:textId="13F09A59" w:rsidR="00007464" w:rsidRDefault="00007464" w:rsidP="00007464">
      <w:pPr>
        <w:pStyle w:val="Proposal"/>
      </w:pPr>
      <w:bookmarkStart w:id="1" w:name="_Toc502748731"/>
      <w:bookmarkStart w:id="2" w:name="_Toc502911773"/>
      <w:bookmarkStart w:id="3" w:name="_Toc503436419"/>
      <w:bookmarkStart w:id="4" w:name="_Toc503436493"/>
      <w:bookmarkStart w:id="5" w:name="_Toc503437627"/>
      <w:r>
        <w:t>The standard should support IAB when using stand-alone NR both on the access and backhaul link</w:t>
      </w:r>
      <w:bookmarkEnd w:id="1"/>
      <w:bookmarkEnd w:id="2"/>
      <w:bookmarkEnd w:id="3"/>
      <w:bookmarkEnd w:id="4"/>
      <w:bookmarkEnd w:id="5"/>
    </w:p>
    <w:p w14:paraId="293D5A1D" w14:textId="1D8E8644" w:rsidR="004000E8" w:rsidRDefault="00C13009" w:rsidP="00CE0424">
      <w:pPr>
        <w:pStyle w:val="Heading1"/>
      </w:pPr>
      <w:r>
        <w:t>Using EN-DC on the access lin</w:t>
      </w:r>
      <w:bookmarkEnd w:id="0"/>
      <w:r>
        <w:t>k</w:t>
      </w:r>
    </w:p>
    <w:p w14:paraId="55222C75" w14:textId="5A969FC8" w:rsidR="00232307" w:rsidRDefault="00232307" w:rsidP="00C63B99">
      <w:r>
        <w:t xml:space="preserve">The support for EN-DC (or non-stand-alone NR) is part of the December release of NR specification. It is expected that many early deployments of NR will utilize EN-DC e.g. to due to lack of low frequency (wide coverage) spectrum for NR, or due to early devices only supporting EN-DC. </w:t>
      </w:r>
    </w:p>
    <w:p w14:paraId="3E9F1820" w14:textId="19CAAAB1" w:rsidR="00232307" w:rsidRDefault="00905222" w:rsidP="00C63B99">
      <w:r>
        <w:t xml:space="preserve">As stated in the Study Item for IAB it is desirable if integrated access and backhaul is supported at initial NR deployments to allow dense NR deployments without then need to densify the traditional transport network. </w:t>
      </w:r>
      <w:r w:rsidR="00232307">
        <w:lastRenderedPageBreak/>
        <w:t xml:space="preserve">For this </w:t>
      </w:r>
      <w:r w:rsidR="003D7269">
        <w:t>reason,</w:t>
      </w:r>
      <w:r w:rsidR="00232307">
        <w:t xml:space="preserve"> we think it is also required that IAB supports EN-DC on the access link. Even if IAB is deployed later when stand-alone NR is widely available it may still be desirable to also support legacy EN-DC only devices. </w:t>
      </w:r>
    </w:p>
    <w:p w14:paraId="7B1BCE68" w14:textId="798D7457" w:rsidR="00232307" w:rsidRDefault="00232307" w:rsidP="00400AF6">
      <w:pPr>
        <w:pStyle w:val="Observation"/>
      </w:pPr>
      <w:bookmarkStart w:id="6" w:name="_Toc502748729"/>
      <w:bookmarkStart w:id="7" w:name="_Toc502911770"/>
      <w:bookmarkStart w:id="8" w:name="_Toc503436415"/>
      <w:bookmarkStart w:id="9" w:name="_Toc503436489"/>
      <w:bookmarkStart w:id="10" w:name="_Toc503437623"/>
      <w:r>
        <w:t xml:space="preserve">Supporting EN-DC on access link is beneficial for early IAB deployments as well as </w:t>
      </w:r>
      <w:r w:rsidR="00400AF6">
        <w:t xml:space="preserve">for later deployments </w:t>
      </w:r>
      <w:r>
        <w:t>supporting EN-DC only UEs.</w:t>
      </w:r>
      <w:bookmarkEnd w:id="6"/>
      <w:bookmarkEnd w:id="7"/>
      <w:bookmarkEnd w:id="8"/>
      <w:bookmarkEnd w:id="9"/>
      <w:bookmarkEnd w:id="10"/>
      <w:r>
        <w:t xml:space="preserve"> </w:t>
      </w:r>
    </w:p>
    <w:p w14:paraId="66BF5356" w14:textId="77777777" w:rsidR="00232307" w:rsidRDefault="00232307" w:rsidP="00C63B99"/>
    <w:p w14:paraId="55F2FF5B" w14:textId="05122699" w:rsidR="002270D0" w:rsidRDefault="00007464" w:rsidP="00C63B99">
      <w:r>
        <w:t xml:space="preserve">An example deployment for IAB could be a macro grid LTE network </w:t>
      </w:r>
      <w:r w:rsidR="002270D0">
        <w:t xml:space="preserve">which is densified by adding new micro nodes which some are backhauled using IAB. In this </w:t>
      </w:r>
      <w:r w:rsidR="007B6ABB">
        <w:t xml:space="preserve">example </w:t>
      </w:r>
      <w:r w:rsidR="002270D0">
        <w:t xml:space="preserve">scenario the macro sites are upgraded to also support NR (in addition to LTE) and the micro sites </w:t>
      </w:r>
      <w:r w:rsidR="007B6ABB">
        <w:t xml:space="preserve">only </w:t>
      </w:r>
      <w:r w:rsidR="002270D0">
        <w:t xml:space="preserve">support </w:t>
      </w:r>
      <w:r w:rsidR="007B6ABB">
        <w:t>NR</w:t>
      </w:r>
      <w:r w:rsidR="002270D0">
        <w:t xml:space="preserve"> as shown in the figure below:</w:t>
      </w:r>
    </w:p>
    <w:p w14:paraId="245F6518" w14:textId="77777777" w:rsidR="003C4CC3" w:rsidRDefault="003C4CC3" w:rsidP="00C63B99"/>
    <w:p w14:paraId="5935E483" w14:textId="77777777" w:rsidR="00007464" w:rsidRDefault="007B6ABB" w:rsidP="003C4CC3">
      <w:pPr>
        <w:jc w:val="center"/>
      </w:pPr>
      <w:r>
        <w:rPr>
          <w:noProof/>
        </w:rPr>
        <w:drawing>
          <wp:inline distT="0" distB="0" distL="0" distR="0" wp14:anchorId="082BA523" wp14:editId="38030CEF">
            <wp:extent cx="3645535" cy="24022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45535" cy="2402205"/>
                    </a:xfrm>
                    <a:prstGeom prst="rect">
                      <a:avLst/>
                    </a:prstGeom>
                    <a:noFill/>
                  </pic:spPr>
                </pic:pic>
              </a:graphicData>
            </a:graphic>
          </wp:inline>
        </w:drawing>
      </w:r>
    </w:p>
    <w:p w14:paraId="55E374C0" w14:textId="47744867" w:rsidR="00400AF6" w:rsidRDefault="00400AF6" w:rsidP="00C63B99">
      <w:r>
        <w:t xml:space="preserve">In this case it should be possible to operate in EN-DC utilizing LTE wide area coverage and NR as a data boost. The EN-DC solution allows separation of the LTE and NR using non-ideal transport meaning </w:t>
      </w:r>
      <w:r w:rsidR="000056F6">
        <w:t xml:space="preserve">it should be </w:t>
      </w:r>
      <w:r>
        <w:t xml:space="preserve">feasible </w:t>
      </w:r>
      <w:r w:rsidR="000056F6">
        <w:t xml:space="preserve">for </w:t>
      </w:r>
      <w:r>
        <w:t xml:space="preserve">the EN-DC solution </w:t>
      </w:r>
      <w:r w:rsidR="000056F6">
        <w:t>to</w:t>
      </w:r>
      <w:r>
        <w:t xml:space="preserve"> support the IAB scenario where the NR node</w:t>
      </w:r>
      <w:r w:rsidR="007B6ABB">
        <w:t xml:space="preserve"> serving the UE</w:t>
      </w:r>
      <w:r>
        <w:t xml:space="preserve"> is wirelessly backhauled using another NR node. </w:t>
      </w:r>
      <w:r w:rsidR="0062557C">
        <w:t xml:space="preserve">Below is a figure showing an example logical architecture for this scenario where the NR node being wirelessly backhauled over NR </w:t>
      </w:r>
      <w:r w:rsidR="003C4CC3">
        <w:t>labelled</w:t>
      </w:r>
      <w:r w:rsidR="0062557C">
        <w:t xml:space="preserve"> </w:t>
      </w:r>
      <w:r w:rsidR="003C4CC3">
        <w:t xml:space="preserve">NR </w:t>
      </w:r>
      <w:r w:rsidR="0062557C">
        <w:t>IAB Node performs the functions of a en-gNB-DU serving the NR SCG link.</w:t>
      </w:r>
      <w:r w:rsidR="00670860">
        <w:t xml:space="preserve"> </w:t>
      </w:r>
    </w:p>
    <w:p w14:paraId="3ED1A1BD" w14:textId="01CC14E3" w:rsidR="0062557C" w:rsidRDefault="0062557C" w:rsidP="003C4CC3">
      <w:pPr>
        <w:jc w:val="center"/>
      </w:pPr>
      <w:r>
        <w:rPr>
          <w:noProof/>
        </w:rPr>
        <w:drawing>
          <wp:inline distT="0" distB="0" distL="0" distR="0" wp14:anchorId="27E9FC36" wp14:editId="0C4BA291">
            <wp:extent cx="2340703" cy="2037440"/>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44111" cy="2040407"/>
                    </a:xfrm>
                    <a:prstGeom prst="rect">
                      <a:avLst/>
                    </a:prstGeom>
                    <a:noFill/>
                  </pic:spPr>
                </pic:pic>
              </a:graphicData>
            </a:graphic>
          </wp:inline>
        </w:drawing>
      </w:r>
    </w:p>
    <w:p w14:paraId="0D49E9A9" w14:textId="77777777" w:rsidR="003C4CC3" w:rsidRDefault="003C4CC3" w:rsidP="003C4CC3">
      <w:pPr>
        <w:jc w:val="center"/>
      </w:pPr>
    </w:p>
    <w:p w14:paraId="3AEAB536" w14:textId="3FCB11CE" w:rsidR="00400AF6" w:rsidRDefault="00400AF6" w:rsidP="00400AF6">
      <w:pPr>
        <w:pStyle w:val="Proposal"/>
      </w:pPr>
      <w:bookmarkStart w:id="11" w:name="_Toc502748732"/>
      <w:bookmarkStart w:id="12" w:name="_Toc502911774"/>
      <w:bookmarkStart w:id="13" w:name="_Toc503436420"/>
      <w:bookmarkStart w:id="14" w:name="_Toc503436494"/>
      <w:bookmarkStart w:id="15" w:name="_Toc503437628"/>
      <w:r>
        <w:t>The standard should support IAB when using EN-DC on the access link</w:t>
      </w:r>
      <w:bookmarkEnd w:id="11"/>
      <w:bookmarkEnd w:id="12"/>
      <w:bookmarkEnd w:id="13"/>
      <w:bookmarkEnd w:id="14"/>
      <w:bookmarkEnd w:id="15"/>
    </w:p>
    <w:p w14:paraId="0295D75E" w14:textId="13C9F79D" w:rsidR="00400AF6" w:rsidRDefault="00400AF6" w:rsidP="00C63B99"/>
    <w:p w14:paraId="462D0CAA" w14:textId="347B4575" w:rsidR="00400AF6" w:rsidRDefault="00400AF6" w:rsidP="00400AF6">
      <w:pPr>
        <w:pStyle w:val="Heading1"/>
      </w:pPr>
      <w:r>
        <w:t>Using EN-DC on backhaul link</w:t>
      </w:r>
    </w:p>
    <w:p w14:paraId="14C6063E" w14:textId="02FD1450" w:rsidR="003D7269" w:rsidRDefault="00400AF6" w:rsidP="00C63B99">
      <w:r>
        <w:t xml:space="preserve">Given that the </w:t>
      </w:r>
      <w:r w:rsidR="00806A9D">
        <w:t xml:space="preserve">IAB </w:t>
      </w:r>
      <w:r>
        <w:t xml:space="preserve">backhaul link is </w:t>
      </w:r>
      <w:r w:rsidR="00806A9D">
        <w:t>a</w:t>
      </w:r>
      <w:r>
        <w:t xml:space="preserve"> </w:t>
      </w:r>
      <w:r w:rsidR="00806A9D">
        <w:t xml:space="preserve">network </w:t>
      </w:r>
      <w:r>
        <w:t>internal link there is more flexibility how this link would need to be realized compared to the access link which needs to inter-work with millions of devices</w:t>
      </w:r>
      <w:r w:rsidR="00806A9D">
        <w:t>/UEs</w:t>
      </w:r>
      <w:r>
        <w:t xml:space="preserve"> (including </w:t>
      </w:r>
      <w:r>
        <w:lastRenderedPageBreak/>
        <w:t xml:space="preserve">legacy devices). For this reason, it could be discussed if EN-DC should also be supported on the backhaul link. </w:t>
      </w:r>
    </w:p>
    <w:p w14:paraId="7D4FA97F" w14:textId="325E0142" w:rsidR="00806A9D" w:rsidRDefault="00400AF6" w:rsidP="00C63B99">
      <w:r>
        <w:t>One argument for supporting it could be if the rest of the network</w:t>
      </w:r>
      <w:r w:rsidR="00A72720">
        <w:t xml:space="preserve"> (incl. the Packet Core)</w:t>
      </w:r>
      <w:r>
        <w:t xml:space="preserve"> do not support stand-alone NR it would not work to connect the IAB node using stand-alone NR.</w:t>
      </w:r>
    </w:p>
    <w:p w14:paraId="67CBC03F" w14:textId="6B588480" w:rsidR="003D7269" w:rsidRDefault="00A72720" w:rsidP="00A72720">
      <w:pPr>
        <w:pStyle w:val="Observation"/>
      </w:pPr>
      <w:bookmarkStart w:id="16" w:name="_Toc502911771"/>
      <w:bookmarkStart w:id="17" w:name="_Toc503436416"/>
      <w:bookmarkStart w:id="18" w:name="_Toc503436490"/>
      <w:bookmarkStart w:id="19" w:name="_Toc503437624"/>
      <w:r>
        <w:t>Supporting EN-DC on the IAB backhaul link would be useful in networks that do not support stand-alone NR.</w:t>
      </w:r>
      <w:bookmarkEnd w:id="16"/>
      <w:bookmarkEnd w:id="17"/>
      <w:bookmarkEnd w:id="18"/>
      <w:bookmarkEnd w:id="19"/>
    </w:p>
    <w:p w14:paraId="25163782" w14:textId="21EF35E5" w:rsidR="003D7269" w:rsidRDefault="00400AF6" w:rsidP="00C63B99">
      <w:r>
        <w:t>On the other hand, since both sides are network nodes it is at least easier to upgrade them to support stand-alone NR. Other arguments why stand-alone NR might be enough for the backhaul link is that it is expected that th</w:t>
      </w:r>
      <w:r w:rsidR="00906CB5">
        <w:t>e IAB node should be deployed at</w:t>
      </w:r>
      <w:r>
        <w:t xml:space="preserve"> </w:t>
      </w:r>
      <w:r w:rsidR="00906CB5">
        <w:t>a site w</w:t>
      </w:r>
      <w:r>
        <w:t>ith good NR coverage and would not requ</w:t>
      </w:r>
      <w:r w:rsidR="00806A9D">
        <w:t xml:space="preserve">ire LTE </w:t>
      </w:r>
      <w:r w:rsidR="00906CB5">
        <w:t xml:space="preserve">from </w:t>
      </w:r>
      <w:r w:rsidR="00A04098">
        <w:t xml:space="preserve">radio </w:t>
      </w:r>
      <w:r w:rsidR="00906CB5">
        <w:t>coverage perspective</w:t>
      </w:r>
      <w:r w:rsidR="00806A9D">
        <w:t>.</w:t>
      </w:r>
    </w:p>
    <w:p w14:paraId="2F8625FE" w14:textId="781F83E9" w:rsidR="00806A9D" w:rsidRDefault="00806A9D" w:rsidP="00806A9D">
      <w:pPr>
        <w:pStyle w:val="Observation"/>
      </w:pPr>
      <w:bookmarkStart w:id="20" w:name="_Toc502911772"/>
      <w:bookmarkStart w:id="21" w:name="_Toc503436417"/>
      <w:bookmarkStart w:id="22" w:name="_Toc503436491"/>
      <w:bookmarkStart w:id="23" w:name="_Toc503437625"/>
      <w:r>
        <w:t xml:space="preserve">IAB nodes are expected to be deployed in </w:t>
      </w:r>
      <w:r w:rsidR="00A04098">
        <w:t>at sites wi</w:t>
      </w:r>
      <w:r>
        <w:t xml:space="preserve">th good NR coverage, </w:t>
      </w:r>
      <w:r w:rsidR="00A04098">
        <w:t>meaning EN-DC on the backhaul link is not required from a radio coverage perspective.</w:t>
      </w:r>
      <w:bookmarkEnd w:id="20"/>
      <w:bookmarkEnd w:id="21"/>
      <w:bookmarkEnd w:id="22"/>
      <w:bookmarkEnd w:id="23"/>
      <w:r w:rsidR="00A04098">
        <w:t xml:space="preserve"> </w:t>
      </w:r>
    </w:p>
    <w:p w14:paraId="191BF2EF" w14:textId="1EB74A6E" w:rsidR="00A04098" w:rsidRDefault="00A04098" w:rsidP="00806A9D">
      <w:r>
        <w:t>Another potential issue with supporting EN-DC on the backhaul link is that this may have an impact on EPC e.g. to provide connectivity functionality for the IAB node. Overall it is assumed that changes to EPC should be minimized.</w:t>
      </w:r>
    </w:p>
    <w:p w14:paraId="78AF2FA1" w14:textId="71A6F435" w:rsidR="00A04098" w:rsidRDefault="00A04098" w:rsidP="00A04098">
      <w:pPr>
        <w:pStyle w:val="Observation"/>
      </w:pPr>
      <w:bookmarkStart w:id="24" w:name="_Toc503436418"/>
      <w:bookmarkStart w:id="25" w:name="_Toc503436492"/>
      <w:bookmarkStart w:id="26" w:name="_Toc503437626"/>
      <w:r>
        <w:t>Supporting EN-DC on backhaul link could potentially have impacts to EPC to manage the backhaul link. Overall it is assumed that changes to EPC should be minimized.</w:t>
      </w:r>
      <w:bookmarkEnd w:id="24"/>
      <w:bookmarkEnd w:id="25"/>
      <w:bookmarkEnd w:id="26"/>
    </w:p>
    <w:p w14:paraId="30C192AC" w14:textId="55F5C2EB" w:rsidR="003D7269" w:rsidRDefault="00A72720" w:rsidP="00806A9D">
      <w:r>
        <w:t>Never-</w:t>
      </w:r>
      <w:r w:rsidR="00806A9D">
        <w:t>the</w:t>
      </w:r>
      <w:r>
        <w:t>-</w:t>
      </w:r>
      <w:r w:rsidR="00806A9D">
        <w:t xml:space="preserve">less if there is a </w:t>
      </w:r>
      <w:r w:rsidR="00A04098">
        <w:t xml:space="preserve">strong </w:t>
      </w:r>
      <w:r w:rsidR="00806A9D">
        <w:t xml:space="preserve">market need to support </w:t>
      </w:r>
      <w:r w:rsidR="00400AF6">
        <w:t>E</w:t>
      </w:r>
      <w:r w:rsidR="00806A9D">
        <w:t xml:space="preserve">N-DC also on the backhaul link it is assumed this is technically possible to support in the same way as for the access link. </w:t>
      </w:r>
      <w:r w:rsidR="003D7269">
        <w:t>The IAB node will initial connected to LTE and then be assigned a secondary NR node and NR SCG radio configuration. It is assumed that the IAB node will in most cases stay in RRC connected / DC when serving traffic to the end-user. It is also assumed that most of the data should go on the NR radio leg</w:t>
      </w:r>
      <w:r>
        <w:t xml:space="preserve"> (i.e. SCG bearer)</w:t>
      </w:r>
      <w:r w:rsidR="003D7269">
        <w:t xml:space="preserve">. </w:t>
      </w:r>
    </w:p>
    <w:p w14:paraId="0958813D" w14:textId="7DEF4C51" w:rsidR="00400AF6" w:rsidRDefault="00A04098" w:rsidP="003D7269">
      <w:pPr>
        <w:pStyle w:val="Proposal"/>
      </w:pPr>
      <w:bookmarkStart w:id="27" w:name="_Toc502911775"/>
      <w:bookmarkStart w:id="28" w:name="_Toc502748733"/>
      <w:bookmarkStart w:id="29" w:name="_Toc503436421"/>
      <w:bookmarkStart w:id="30" w:name="_Toc503436495"/>
      <w:bookmarkStart w:id="31" w:name="_Toc503437629"/>
      <w:r>
        <w:t>It is FFS if EN-DC should be supported on IAB backhaul like. Operator input is requested</w:t>
      </w:r>
      <w:r w:rsidR="00A72720">
        <w:t>.</w:t>
      </w:r>
      <w:bookmarkEnd w:id="27"/>
      <w:bookmarkEnd w:id="28"/>
      <w:bookmarkEnd w:id="29"/>
      <w:bookmarkEnd w:id="30"/>
      <w:bookmarkEnd w:id="31"/>
    </w:p>
    <w:p w14:paraId="3B15A56F" w14:textId="77777777" w:rsidR="003742AC" w:rsidRPr="00CE0424" w:rsidRDefault="003742AC" w:rsidP="006E062C"/>
    <w:p w14:paraId="4878691E" w14:textId="77777777" w:rsidR="00C01F33" w:rsidRPr="00CE0424" w:rsidRDefault="00C01F33" w:rsidP="00CE0424">
      <w:pPr>
        <w:pStyle w:val="Heading1"/>
      </w:pPr>
      <w:r w:rsidRPr="00CE0424">
        <w:t>Conclusion</w:t>
      </w:r>
    </w:p>
    <w:p w14:paraId="1235836B" w14:textId="77777777" w:rsidR="00B00318" w:rsidRDefault="003D7269" w:rsidP="008E065E">
      <w:pPr>
        <w:pStyle w:val="BodyText"/>
        <w:rPr>
          <w:noProof/>
        </w:rPr>
      </w:pPr>
      <w:r>
        <w:t>I</w:t>
      </w:r>
      <w:r w:rsidRPr="00CE0424">
        <w:t xml:space="preserve">n </w:t>
      </w:r>
      <w:r>
        <w:t xml:space="preserve">earlier </w:t>
      </w:r>
      <w:r w:rsidRPr="00CE0424">
        <w:t>section</w:t>
      </w:r>
      <w:r>
        <w:t>s</w:t>
      </w:r>
      <w:r w:rsidR="008E065E" w:rsidRPr="00CE0424">
        <w:t xml:space="preserve"> we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29FF6D80" w14:textId="77777777" w:rsidR="00B00318" w:rsidRDefault="00B00318">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Supporting EN-DC on access link is beneficial for early IAB deployments as well as for later deployments supporting EN-DC only UEs.</w:t>
      </w:r>
    </w:p>
    <w:p w14:paraId="471881DE" w14:textId="77777777" w:rsidR="00B00318" w:rsidRDefault="00B00318">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Supporting EN-DC on the IAB backhaul link would be useful in networks that do not support stand-alone NR.</w:t>
      </w:r>
    </w:p>
    <w:p w14:paraId="123B0E99" w14:textId="77777777" w:rsidR="00B00318" w:rsidRDefault="00B00318">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IAB nodes are expected to be deployed in at sites with good NR coverage, meaning EN-DC on the backhaul link is not required from a radio coverage perspective.</w:t>
      </w:r>
    </w:p>
    <w:p w14:paraId="7EABBB1A" w14:textId="77777777" w:rsidR="00B00318" w:rsidRDefault="00B00318">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Supporting EN-DC on backhaul link could potentially have impacts to EPC to manage the backhaul link. Overall it is assumed that changes to EPC should be minimized.</w:t>
      </w:r>
    </w:p>
    <w:p w14:paraId="50B94902" w14:textId="77777777" w:rsidR="008E065E" w:rsidRDefault="008E065E" w:rsidP="008E065E">
      <w:pPr>
        <w:pStyle w:val="BodyText"/>
        <w:rPr>
          <w:b/>
          <w:bCs/>
        </w:rPr>
      </w:pPr>
      <w:r>
        <w:rPr>
          <w:b/>
          <w:bCs/>
        </w:rPr>
        <w:fldChar w:fldCharType="end"/>
      </w:r>
    </w:p>
    <w:p w14:paraId="25B7E5B7" w14:textId="77777777" w:rsidR="00B00318" w:rsidRDefault="008E065E" w:rsidP="008E065E">
      <w:pPr>
        <w:pStyle w:val="BodyText"/>
        <w:rPr>
          <w:noProof/>
        </w:rPr>
      </w:pPr>
      <w:r w:rsidRPr="00CE0424">
        <w:t xml:space="preserve">Based on the discussion in </w:t>
      </w:r>
      <w:r w:rsidR="003D7269">
        <w:t xml:space="preserve">earlier </w:t>
      </w:r>
      <w:r w:rsidRPr="00CE0424">
        <w:t>section</w:t>
      </w:r>
      <w:r w:rsidR="003D7269">
        <w:t>s</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AF475AC" w14:textId="77777777" w:rsidR="00B00318" w:rsidRDefault="00B00318">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The standard should support IAB when using stand-alone NR both on the access and backhaul link</w:t>
      </w:r>
    </w:p>
    <w:p w14:paraId="2F53194F" w14:textId="77777777" w:rsidR="00B00318" w:rsidRDefault="00B0031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standard should support IAB when using EN-DC on the access link</w:t>
      </w:r>
    </w:p>
    <w:p w14:paraId="21FEACAA" w14:textId="77777777" w:rsidR="00B00318" w:rsidRDefault="00B0031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It is FFS if EN-DC should be supported on IAB backhaul like. Operator input is requested.</w:t>
      </w:r>
      <w:bookmarkStart w:id="32" w:name="_GoBack"/>
      <w:bookmarkEnd w:id="32"/>
    </w:p>
    <w:p w14:paraId="2A1E6CF2" w14:textId="77777777" w:rsidR="008E065E" w:rsidRPr="00CE0424" w:rsidRDefault="008E065E" w:rsidP="008E065E">
      <w:pPr>
        <w:rPr>
          <w:b/>
          <w:bCs/>
        </w:rPr>
      </w:pPr>
      <w:r>
        <w:rPr>
          <w:b/>
          <w:bCs/>
        </w:rPr>
        <w:fldChar w:fldCharType="end"/>
      </w:r>
    </w:p>
    <w:p w14:paraId="1853A7C1" w14:textId="77777777" w:rsidR="003A7EF3" w:rsidRPr="00CE0424" w:rsidRDefault="003A7EF3" w:rsidP="00CE0424">
      <w:pPr>
        <w:pStyle w:val="BodyText"/>
      </w:pPr>
      <w:bookmarkStart w:id="33" w:name="_In-sequence_SDU_delivery"/>
      <w:bookmarkEnd w:id="33"/>
    </w:p>
    <w:sectPr w:rsidR="003A7EF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4234F" w14:textId="77777777" w:rsidR="00775426" w:rsidRDefault="00775426">
      <w:r>
        <w:separator/>
      </w:r>
    </w:p>
  </w:endnote>
  <w:endnote w:type="continuationSeparator" w:id="0">
    <w:p w14:paraId="046E1EA7" w14:textId="77777777" w:rsidR="00775426" w:rsidRDefault="00775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3D01C5A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D6B6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6B6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E5C9B" w14:textId="77777777" w:rsidR="00775426" w:rsidRDefault="00775426">
      <w:r>
        <w:separator/>
      </w:r>
    </w:p>
  </w:footnote>
  <w:footnote w:type="continuationSeparator" w:id="0">
    <w:p w14:paraId="63570677" w14:textId="77777777" w:rsidR="00775426" w:rsidRDefault="00775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5"/>
  </w:num>
  <w:num w:numId="1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368"/>
    <w:rsid w:val="000006E1"/>
    <w:rsid w:val="00002A37"/>
    <w:rsid w:val="000039F4"/>
    <w:rsid w:val="000056F6"/>
    <w:rsid w:val="00006446"/>
    <w:rsid w:val="00006896"/>
    <w:rsid w:val="00007464"/>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8198C"/>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D0"/>
    <w:rsid w:val="00230765"/>
    <w:rsid w:val="002319E4"/>
    <w:rsid w:val="00232307"/>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C6A87"/>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2707"/>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4CC3"/>
    <w:rsid w:val="003C50D4"/>
    <w:rsid w:val="003C7806"/>
    <w:rsid w:val="003D109F"/>
    <w:rsid w:val="003D2478"/>
    <w:rsid w:val="003D3C45"/>
    <w:rsid w:val="003D5B1F"/>
    <w:rsid w:val="003D6B67"/>
    <w:rsid w:val="003D7269"/>
    <w:rsid w:val="003E15FA"/>
    <w:rsid w:val="003E55E4"/>
    <w:rsid w:val="003E74E3"/>
    <w:rsid w:val="003F05C7"/>
    <w:rsid w:val="003F2CD4"/>
    <w:rsid w:val="003F6BBE"/>
    <w:rsid w:val="004000E8"/>
    <w:rsid w:val="00400AF6"/>
    <w:rsid w:val="00402E2B"/>
    <w:rsid w:val="0040512B"/>
    <w:rsid w:val="00405CA5"/>
    <w:rsid w:val="00407CD3"/>
    <w:rsid w:val="00410134"/>
    <w:rsid w:val="00410B72"/>
    <w:rsid w:val="00410F18"/>
    <w:rsid w:val="0041263E"/>
    <w:rsid w:val="00413AAC"/>
    <w:rsid w:val="00420368"/>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0FE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2DF8"/>
    <w:rsid w:val="00506557"/>
    <w:rsid w:val="0050677A"/>
    <w:rsid w:val="005108D8"/>
    <w:rsid w:val="005116F9"/>
    <w:rsid w:val="005153A7"/>
    <w:rsid w:val="005219CF"/>
    <w:rsid w:val="00533F9A"/>
    <w:rsid w:val="00534B59"/>
    <w:rsid w:val="00536759"/>
    <w:rsid w:val="00537C62"/>
    <w:rsid w:val="00546970"/>
    <w:rsid w:val="00554E19"/>
    <w:rsid w:val="0056121F"/>
    <w:rsid w:val="00572505"/>
    <w:rsid w:val="00582809"/>
    <w:rsid w:val="0058798C"/>
    <w:rsid w:val="005900FA"/>
    <w:rsid w:val="005935A4"/>
    <w:rsid w:val="005948C2"/>
    <w:rsid w:val="00595DCA"/>
    <w:rsid w:val="005975C9"/>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13481"/>
    <w:rsid w:val="00616B54"/>
    <w:rsid w:val="00620A71"/>
    <w:rsid w:val="00620D80"/>
    <w:rsid w:val="006234A6"/>
    <w:rsid w:val="0062557C"/>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6113"/>
    <w:rsid w:val="00667EE7"/>
    <w:rsid w:val="00670860"/>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4FC3"/>
    <w:rsid w:val="007571E1"/>
    <w:rsid w:val="007604B2"/>
    <w:rsid w:val="00765281"/>
    <w:rsid w:val="00766BAD"/>
    <w:rsid w:val="007730BD"/>
    <w:rsid w:val="00775426"/>
    <w:rsid w:val="007755F2"/>
    <w:rsid w:val="00776971"/>
    <w:rsid w:val="007803B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ABB"/>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6A9D"/>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330"/>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62E6"/>
    <w:rsid w:val="00902350"/>
    <w:rsid w:val="0090336B"/>
    <w:rsid w:val="00905222"/>
    <w:rsid w:val="009053AA"/>
    <w:rsid w:val="00906939"/>
    <w:rsid w:val="00906CB5"/>
    <w:rsid w:val="00910B7D"/>
    <w:rsid w:val="00911DFB"/>
    <w:rsid w:val="009139D9"/>
    <w:rsid w:val="00914AD8"/>
    <w:rsid w:val="00914DB8"/>
    <w:rsid w:val="00916079"/>
    <w:rsid w:val="00917CE9"/>
    <w:rsid w:val="00920BF2"/>
    <w:rsid w:val="00922010"/>
    <w:rsid w:val="00931BD9"/>
    <w:rsid w:val="009368F3"/>
    <w:rsid w:val="0093751B"/>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44AD"/>
    <w:rsid w:val="00A04098"/>
    <w:rsid w:val="00A048A8"/>
    <w:rsid w:val="00A04F49"/>
    <w:rsid w:val="00A13E54"/>
    <w:rsid w:val="00A17F63"/>
    <w:rsid w:val="00A2052C"/>
    <w:rsid w:val="00A2193B"/>
    <w:rsid w:val="00A2351A"/>
    <w:rsid w:val="00A264A9"/>
    <w:rsid w:val="00A27785"/>
    <w:rsid w:val="00A30187"/>
    <w:rsid w:val="00A3448A"/>
    <w:rsid w:val="00A36297"/>
    <w:rsid w:val="00A41E2B"/>
    <w:rsid w:val="00A43728"/>
    <w:rsid w:val="00A45B74"/>
    <w:rsid w:val="00A52E1D"/>
    <w:rsid w:val="00A61499"/>
    <w:rsid w:val="00A62A77"/>
    <w:rsid w:val="00A63483"/>
    <w:rsid w:val="00A657D7"/>
    <w:rsid w:val="00A660AC"/>
    <w:rsid w:val="00A66F55"/>
    <w:rsid w:val="00A67E6C"/>
    <w:rsid w:val="00A71B99"/>
    <w:rsid w:val="00A72720"/>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318"/>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1C94"/>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3009"/>
    <w:rsid w:val="00C14D4B"/>
    <w:rsid w:val="00C154BB"/>
    <w:rsid w:val="00C24345"/>
    <w:rsid w:val="00C279B5"/>
    <w:rsid w:val="00C27C45"/>
    <w:rsid w:val="00C3719D"/>
    <w:rsid w:val="00C54995"/>
    <w:rsid w:val="00C54D41"/>
    <w:rsid w:val="00C60783"/>
    <w:rsid w:val="00C63B99"/>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A97"/>
    <w:rsid w:val="00D40B33"/>
    <w:rsid w:val="00D4318F"/>
    <w:rsid w:val="00D438BF"/>
    <w:rsid w:val="00D440F8"/>
    <w:rsid w:val="00D50F97"/>
    <w:rsid w:val="00D519A9"/>
    <w:rsid w:val="00D546FF"/>
    <w:rsid w:val="00D55AD5"/>
    <w:rsid w:val="00D576CA"/>
    <w:rsid w:val="00D61AF5"/>
    <w:rsid w:val="00D652B5"/>
    <w:rsid w:val="00D66155"/>
    <w:rsid w:val="00D708B0"/>
    <w:rsid w:val="00D77B1D"/>
    <w:rsid w:val="00D8021F"/>
    <w:rsid w:val="00D80383"/>
    <w:rsid w:val="00D823C6"/>
    <w:rsid w:val="00D86CA3"/>
    <w:rsid w:val="00D871CE"/>
    <w:rsid w:val="00D87E3D"/>
    <w:rsid w:val="00D9196D"/>
    <w:rsid w:val="00D92982"/>
    <w:rsid w:val="00DA305E"/>
    <w:rsid w:val="00DA5417"/>
    <w:rsid w:val="00DA56E8"/>
    <w:rsid w:val="00DB0A9F"/>
    <w:rsid w:val="00DB3499"/>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C20"/>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127"/>
    <w:rsid w:val="00EC27C6"/>
    <w:rsid w:val="00EC4207"/>
    <w:rsid w:val="00EC5653"/>
    <w:rsid w:val="00EC71CE"/>
    <w:rsid w:val="00ED1006"/>
    <w:rsid w:val="00ED7D9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37A"/>
    <w:rsid w:val="00F40F0C"/>
    <w:rsid w:val="00F4766C"/>
    <w:rsid w:val="00F4799F"/>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3F9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3F9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33F9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33F9A"/>
    <w:pPr>
      <w:numPr>
        <w:ilvl w:val="2"/>
      </w:numPr>
      <w:spacing w:before="120"/>
      <w:outlineLvl w:val="2"/>
    </w:pPr>
    <w:rPr>
      <w:sz w:val="28"/>
      <w:szCs w:val="28"/>
    </w:rPr>
  </w:style>
  <w:style w:type="paragraph" w:styleId="Heading4">
    <w:name w:val="heading 4"/>
    <w:basedOn w:val="Heading3"/>
    <w:next w:val="Normal"/>
    <w:qFormat/>
    <w:rsid w:val="00533F9A"/>
    <w:pPr>
      <w:numPr>
        <w:ilvl w:val="3"/>
      </w:numPr>
      <w:outlineLvl w:val="3"/>
    </w:pPr>
    <w:rPr>
      <w:sz w:val="24"/>
      <w:szCs w:val="24"/>
    </w:rPr>
  </w:style>
  <w:style w:type="paragraph" w:styleId="Heading5">
    <w:name w:val="heading 5"/>
    <w:basedOn w:val="Heading4"/>
    <w:next w:val="Normal"/>
    <w:qFormat/>
    <w:rsid w:val="00533F9A"/>
    <w:pPr>
      <w:numPr>
        <w:ilvl w:val="4"/>
      </w:numPr>
      <w:outlineLvl w:val="4"/>
    </w:pPr>
    <w:rPr>
      <w:sz w:val="22"/>
      <w:szCs w:val="22"/>
    </w:rPr>
  </w:style>
  <w:style w:type="paragraph" w:styleId="Heading6">
    <w:name w:val="heading 6"/>
    <w:basedOn w:val="Normal"/>
    <w:next w:val="Normal"/>
    <w:qFormat/>
    <w:rsid w:val="00533F9A"/>
    <w:pPr>
      <w:keepNext/>
      <w:keepLines/>
      <w:numPr>
        <w:ilvl w:val="5"/>
        <w:numId w:val="1"/>
      </w:numPr>
      <w:spacing w:before="120"/>
      <w:outlineLvl w:val="5"/>
    </w:pPr>
    <w:rPr>
      <w:rFonts w:cs="Arial"/>
    </w:rPr>
  </w:style>
  <w:style w:type="paragraph" w:styleId="Heading7">
    <w:name w:val="heading 7"/>
    <w:basedOn w:val="Normal"/>
    <w:next w:val="Normal"/>
    <w:qFormat/>
    <w:rsid w:val="00533F9A"/>
    <w:pPr>
      <w:keepNext/>
      <w:keepLines/>
      <w:numPr>
        <w:ilvl w:val="6"/>
        <w:numId w:val="1"/>
      </w:numPr>
      <w:spacing w:before="120"/>
      <w:outlineLvl w:val="6"/>
    </w:pPr>
    <w:rPr>
      <w:rFonts w:cs="Arial"/>
    </w:rPr>
  </w:style>
  <w:style w:type="paragraph" w:styleId="Heading8">
    <w:name w:val="heading 8"/>
    <w:basedOn w:val="Heading7"/>
    <w:next w:val="Normal"/>
    <w:qFormat/>
    <w:rsid w:val="00533F9A"/>
    <w:pPr>
      <w:numPr>
        <w:ilvl w:val="7"/>
      </w:numPr>
      <w:outlineLvl w:val="7"/>
    </w:pPr>
  </w:style>
  <w:style w:type="paragraph" w:styleId="Heading9">
    <w:name w:val="heading 9"/>
    <w:basedOn w:val="Heading8"/>
    <w:next w:val="Normal"/>
    <w:qFormat/>
    <w:rsid w:val="00533F9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3F9A"/>
    <w:pPr>
      <w:spacing w:before="180"/>
      <w:ind w:left="2693" w:hanging="2693"/>
    </w:pPr>
    <w:rPr>
      <w:b w:val="0"/>
      <w:bCs/>
    </w:rPr>
  </w:style>
  <w:style w:type="paragraph" w:styleId="TOC1">
    <w:name w:val="toc 1"/>
    <w:aliases w:val="Observation TOC2"/>
    <w:uiPriority w:val="39"/>
    <w:rsid w:val="00533F9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3F9A"/>
    <w:pPr>
      <w:keepNext/>
      <w:keepLines/>
      <w:spacing w:before="180"/>
      <w:jc w:val="center"/>
    </w:pPr>
  </w:style>
  <w:style w:type="paragraph" w:styleId="Caption">
    <w:name w:val="caption"/>
    <w:basedOn w:val="Normal"/>
    <w:next w:val="Normal"/>
    <w:qFormat/>
    <w:rsid w:val="00533F9A"/>
    <w:pPr>
      <w:spacing w:after="240"/>
      <w:jc w:val="center"/>
    </w:pPr>
    <w:rPr>
      <w:b/>
      <w:bCs/>
    </w:rPr>
  </w:style>
  <w:style w:type="paragraph" w:styleId="TOC5">
    <w:name w:val="toc 5"/>
    <w:aliases w:val="Observation TOC"/>
    <w:basedOn w:val="TOC4"/>
    <w:semiHidden/>
    <w:rsid w:val="00533F9A"/>
    <w:pPr>
      <w:tabs>
        <w:tab w:val="right" w:pos="1701"/>
      </w:tabs>
      <w:ind w:left="1701" w:hanging="1701"/>
    </w:pPr>
  </w:style>
  <w:style w:type="paragraph" w:styleId="TOC4">
    <w:name w:val="toc 4"/>
    <w:basedOn w:val="TOC3"/>
    <w:semiHidden/>
    <w:rsid w:val="00533F9A"/>
    <w:pPr>
      <w:ind w:left="1418" w:hanging="1418"/>
    </w:pPr>
  </w:style>
  <w:style w:type="paragraph" w:styleId="TOC3">
    <w:name w:val="toc 3"/>
    <w:basedOn w:val="TOC2"/>
    <w:semiHidden/>
    <w:rsid w:val="00533F9A"/>
    <w:pPr>
      <w:ind w:left="1134" w:hanging="1134"/>
    </w:pPr>
  </w:style>
  <w:style w:type="paragraph" w:styleId="TOC2">
    <w:name w:val="toc 2"/>
    <w:basedOn w:val="TOC1"/>
    <w:semiHidden/>
    <w:rsid w:val="00533F9A"/>
    <w:pPr>
      <w:keepNext w:val="0"/>
      <w:spacing w:before="0"/>
      <w:ind w:left="851" w:hanging="851"/>
    </w:pPr>
    <w:rPr>
      <w:szCs w:val="20"/>
    </w:rPr>
  </w:style>
  <w:style w:type="paragraph" w:styleId="Index2">
    <w:name w:val="index 2"/>
    <w:basedOn w:val="Index1"/>
    <w:semiHidden/>
    <w:rsid w:val="00533F9A"/>
    <w:pPr>
      <w:ind w:left="284"/>
    </w:pPr>
  </w:style>
  <w:style w:type="paragraph" w:styleId="Index1">
    <w:name w:val="index 1"/>
    <w:basedOn w:val="Normal"/>
    <w:semiHidden/>
    <w:rsid w:val="00533F9A"/>
    <w:pPr>
      <w:keepLines/>
      <w:spacing w:after="0"/>
    </w:pPr>
  </w:style>
  <w:style w:type="paragraph" w:styleId="DocumentMap">
    <w:name w:val="Document Map"/>
    <w:basedOn w:val="Normal"/>
    <w:semiHidden/>
    <w:rsid w:val="00533F9A"/>
    <w:pPr>
      <w:shd w:val="clear" w:color="auto" w:fill="000080"/>
    </w:pPr>
    <w:rPr>
      <w:rFonts w:ascii="Tahoma" w:hAnsi="Tahoma" w:cs="Tahoma"/>
    </w:rPr>
  </w:style>
  <w:style w:type="paragraph" w:styleId="ListNumber2">
    <w:name w:val="List Number 2"/>
    <w:basedOn w:val="ListNumber"/>
    <w:rsid w:val="00533F9A"/>
    <w:pPr>
      <w:ind w:left="851"/>
    </w:pPr>
  </w:style>
  <w:style w:type="paragraph" w:styleId="ListNumber">
    <w:name w:val="List Number"/>
    <w:basedOn w:val="List"/>
    <w:rsid w:val="00533F9A"/>
  </w:style>
  <w:style w:type="paragraph" w:styleId="List">
    <w:name w:val="List"/>
    <w:basedOn w:val="Normal"/>
    <w:rsid w:val="00533F9A"/>
    <w:pPr>
      <w:ind w:left="568" w:hanging="284"/>
    </w:pPr>
  </w:style>
  <w:style w:type="paragraph" w:styleId="Header">
    <w:name w:val="header"/>
    <w:rsid w:val="00533F9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33F9A"/>
    <w:rPr>
      <w:b/>
      <w:bCs/>
      <w:position w:val="6"/>
      <w:sz w:val="16"/>
      <w:szCs w:val="16"/>
    </w:rPr>
  </w:style>
  <w:style w:type="paragraph" w:styleId="FootnoteText">
    <w:name w:val="footnote text"/>
    <w:basedOn w:val="Normal"/>
    <w:semiHidden/>
    <w:rsid w:val="00533F9A"/>
    <w:pPr>
      <w:keepLines/>
      <w:spacing w:after="0"/>
      <w:ind w:left="454" w:hanging="454"/>
    </w:pPr>
    <w:rPr>
      <w:sz w:val="16"/>
      <w:szCs w:val="16"/>
    </w:rPr>
  </w:style>
  <w:style w:type="paragraph" w:customStyle="1" w:styleId="3GPPHeader">
    <w:name w:val="3GPP_Header"/>
    <w:basedOn w:val="Normal"/>
    <w:rsid w:val="00533F9A"/>
    <w:pPr>
      <w:tabs>
        <w:tab w:val="left" w:pos="1701"/>
        <w:tab w:val="right" w:pos="9639"/>
      </w:tabs>
      <w:spacing w:after="240"/>
    </w:pPr>
    <w:rPr>
      <w:b/>
      <w:sz w:val="24"/>
    </w:rPr>
  </w:style>
  <w:style w:type="paragraph" w:styleId="TOC9">
    <w:name w:val="toc 9"/>
    <w:basedOn w:val="TOC8"/>
    <w:semiHidden/>
    <w:rsid w:val="00533F9A"/>
    <w:pPr>
      <w:ind w:left="1418" w:hanging="1418"/>
    </w:pPr>
  </w:style>
  <w:style w:type="paragraph" w:styleId="TOC6">
    <w:name w:val="toc 6"/>
    <w:basedOn w:val="TOC5"/>
    <w:next w:val="Normal"/>
    <w:semiHidden/>
    <w:rsid w:val="00533F9A"/>
    <w:pPr>
      <w:ind w:left="1985" w:hanging="1985"/>
    </w:pPr>
  </w:style>
  <w:style w:type="paragraph" w:styleId="TOC7">
    <w:name w:val="toc 7"/>
    <w:basedOn w:val="TOC6"/>
    <w:next w:val="Normal"/>
    <w:semiHidden/>
    <w:rsid w:val="00533F9A"/>
    <w:pPr>
      <w:ind w:left="2268" w:hanging="2268"/>
    </w:pPr>
  </w:style>
  <w:style w:type="paragraph" w:styleId="ListBullet2">
    <w:name w:val="List Bullet 2"/>
    <w:basedOn w:val="ListBullet"/>
    <w:rsid w:val="00533F9A"/>
    <w:pPr>
      <w:numPr>
        <w:numId w:val="6"/>
      </w:numPr>
    </w:pPr>
  </w:style>
  <w:style w:type="paragraph" w:styleId="ListBullet">
    <w:name w:val="List Bullet"/>
    <w:basedOn w:val="BodyText"/>
    <w:rsid w:val="00533F9A"/>
    <w:pPr>
      <w:numPr>
        <w:numId w:val="5"/>
      </w:numPr>
    </w:pPr>
  </w:style>
  <w:style w:type="paragraph" w:styleId="ListBullet3">
    <w:name w:val="List Bullet 3"/>
    <w:basedOn w:val="ListBullet2"/>
    <w:rsid w:val="00533F9A"/>
    <w:pPr>
      <w:numPr>
        <w:numId w:val="7"/>
      </w:numPr>
    </w:pPr>
  </w:style>
  <w:style w:type="paragraph" w:customStyle="1" w:styleId="EQ">
    <w:name w:val="EQ"/>
    <w:basedOn w:val="Normal"/>
    <w:next w:val="Normal"/>
    <w:rsid w:val="00533F9A"/>
    <w:pPr>
      <w:keepLines/>
      <w:tabs>
        <w:tab w:val="center" w:pos="4536"/>
        <w:tab w:val="right" w:pos="9072"/>
      </w:tabs>
      <w:spacing w:after="180"/>
      <w:jc w:val="left"/>
    </w:pPr>
    <w:rPr>
      <w:noProof/>
      <w:lang w:eastAsia="en-US"/>
    </w:rPr>
  </w:style>
  <w:style w:type="paragraph" w:styleId="List2">
    <w:name w:val="List 2"/>
    <w:basedOn w:val="List"/>
    <w:rsid w:val="00533F9A"/>
    <w:pPr>
      <w:ind w:left="851"/>
    </w:pPr>
  </w:style>
  <w:style w:type="paragraph" w:styleId="List3">
    <w:name w:val="List 3"/>
    <w:basedOn w:val="List2"/>
    <w:rsid w:val="00533F9A"/>
    <w:pPr>
      <w:ind w:left="1135"/>
    </w:pPr>
  </w:style>
  <w:style w:type="paragraph" w:styleId="List4">
    <w:name w:val="List 4"/>
    <w:basedOn w:val="List3"/>
    <w:rsid w:val="00533F9A"/>
    <w:pPr>
      <w:ind w:left="1418"/>
    </w:pPr>
  </w:style>
  <w:style w:type="paragraph" w:styleId="List5">
    <w:name w:val="List 5"/>
    <w:basedOn w:val="List4"/>
    <w:rsid w:val="00533F9A"/>
    <w:pPr>
      <w:ind w:left="1702"/>
    </w:pPr>
  </w:style>
  <w:style w:type="paragraph" w:customStyle="1" w:styleId="EditorsNote">
    <w:name w:val="Editor's Note"/>
    <w:basedOn w:val="Normal"/>
    <w:rsid w:val="00533F9A"/>
    <w:pPr>
      <w:keepLines/>
      <w:spacing w:after="180"/>
      <w:ind w:left="1135" w:hanging="851"/>
      <w:jc w:val="left"/>
    </w:pPr>
    <w:rPr>
      <w:color w:val="FF0000"/>
      <w:lang w:eastAsia="en-US"/>
    </w:rPr>
  </w:style>
  <w:style w:type="paragraph" w:styleId="ListBullet4">
    <w:name w:val="List Bullet 4"/>
    <w:basedOn w:val="ListBullet3"/>
    <w:rsid w:val="00533F9A"/>
    <w:pPr>
      <w:numPr>
        <w:numId w:val="8"/>
      </w:numPr>
    </w:pPr>
  </w:style>
  <w:style w:type="paragraph" w:styleId="ListBullet5">
    <w:name w:val="List Bullet 5"/>
    <w:basedOn w:val="ListBullet4"/>
    <w:rsid w:val="00533F9A"/>
    <w:pPr>
      <w:numPr>
        <w:numId w:val="4"/>
      </w:numPr>
    </w:pPr>
  </w:style>
  <w:style w:type="paragraph" w:styleId="Footer">
    <w:name w:val="footer"/>
    <w:basedOn w:val="Header"/>
    <w:semiHidden/>
    <w:rsid w:val="00533F9A"/>
    <w:pPr>
      <w:jc w:val="center"/>
    </w:pPr>
    <w:rPr>
      <w:i/>
      <w:iCs/>
    </w:rPr>
  </w:style>
  <w:style w:type="paragraph" w:customStyle="1" w:styleId="Reference">
    <w:name w:val="Reference"/>
    <w:basedOn w:val="Normal"/>
    <w:rsid w:val="00533F9A"/>
    <w:pPr>
      <w:numPr>
        <w:numId w:val="2"/>
      </w:numPr>
    </w:pPr>
  </w:style>
  <w:style w:type="paragraph" w:styleId="BalloonText">
    <w:name w:val="Balloon Text"/>
    <w:basedOn w:val="Normal"/>
    <w:semiHidden/>
    <w:rsid w:val="00533F9A"/>
    <w:rPr>
      <w:rFonts w:ascii="Tahoma" w:hAnsi="Tahoma" w:cs="Tahoma"/>
      <w:sz w:val="16"/>
      <w:szCs w:val="16"/>
    </w:rPr>
  </w:style>
  <w:style w:type="character" w:styleId="PageNumber">
    <w:name w:val="page number"/>
    <w:basedOn w:val="DefaultParagraphFont"/>
    <w:semiHidden/>
    <w:rsid w:val="00533F9A"/>
  </w:style>
  <w:style w:type="paragraph" w:styleId="BodyText">
    <w:name w:val="Body Text"/>
    <w:basedOn w:val="Normal"/>
    <w:link w:val="BodyTextChar"/>
    <w:rsid w:val="00533F9A"/>
  </w:style>
  <w:style w:type="character" w:styleId="Hyperlink">
    <w:name w:val="Hyperlink"/>
    <w:uiPriority w:val="99"/>
    <w:rsid w:val="00533F9A"/>
    <w:rPr>
      <w:color w:val="0000FF"/>
      <w:u w:val="single"/>
      <w:lang w:val="en-GB"/>
    </w:rPr>
  </w:style>
  <w:style w:type="character" w:styleId="FollowedHyperlink">
    <w:name w:val="FollowedHyperlink"/>
    <w:semiHidden/>
    <w:rsid w:val="00533F9A"/>
    <w:rPr>
      <w:color w:val="FF0000"/>
      <w:u w:val="single"/>
    </w:rPr>
  </w:style>
  <w:style w:type="character" w:styleId="CommentReference">
    <w:name w:val="annotation reference"/>
    <w:semiHidden/>
    <w:rsid w:val="00533F9A"/>
    <w:rPr>
      <w:sz w:val="16"/>
      <w:szCs w:val="16"/>
    </w:rPr>
  </w:style>
  <w:style w:type="paragraph" w:styleId="CommentText">
    <w:name w:val="annotation text"/>
    <w:basedOn w:val="Normal"/>
    <w:semiHidden/>
    <w:rsid w:val="00533F9A"/>
  </w:style>
  <w:style w:type="paragraph" w:styleId="CommentSubject">
    <w:name w:val="annotation subject"/>
    <w:basedOn w:val="CommentText"/>
    <w:next w:val="CommentText"/>
    <w:semiHidden/>
    <w:rsid w:val="00533F9A"/>
    <w:rPr>
      <w:b/>
      <w:bCs/>
    </w:rPr>
  </w:style>
  <w:style w:type="character" w:customStyle="1" w:styleId="Heading1Char">
    <w:name w:val="Heading 1 Char"/>
    <w:link w:val="Heading1"/>
    <w:rsid w:val="00533F9A"/>
    <w:rPr>
      <w:rFonts w:ascii="Arial" w:hAnsi="Arial" w:cs="Arial"/>
      <w:sz w:val="36"/>
      <w:szCs w:val="36"/>
      <w:lang w:val="en-GB" w:eastAsia="zh-CN"/>
    </w:rPr>
  </w:style>
  <w:style w:type="paragraph" w:customStyle="1" w:styleId="B1">
    <w:name w:val="B1"/>
    <w:basedOn w:val="List"/>
    <w:rsid w:val="00533F9A"/>
    <w:pPr>
      <w:spacing w:after="180"/>
      <w:jc w:val="left"/>
    </w:pPr>
    <w:rPr>
      <w:lang w:eastAsia="en-US"/>
    </w:rPr>
  </w:style>
  <w:style w:type="paragraph" w:customStyle="1" w:styleId="B2">
    <w:name w:val="B2"/>
    <w:basedOn w:val="List2"/>
    <w:rsid w:val="00533F9A"/>
    <w:pPr>
      <w:spacing w:after="180"/>
      <w:jc w:val="left"/>
    </w:pPr>
    <w:rPr>
      <w:lang w:eastAsia="en-US"/>
    </w:rPr>
  </w:style>
  <w:style w:type="paragraph" w:customStyle="1" w:styleId="B3">
    <w:name w:val="B3"/>
    <w:basedOn w:val="List3"/>
    <w:rsid w:val="00533F9A"/>
    <w:pPr>
      <w:spacing w:after="180"/>
      <w:jc w:val="left"/>
    </w:pPr>
    <w:rPr>
      <w:lang w:eastAsia="en-US"/>
    </w:rPr>
  </w:style>
  <w:style w:type="paragraph" w:customStyle="1" w:styleId="B4">
    <w:name w:val="B4"/>
    <w:basedOn w:val="List4"/>
    <w:rsid w:val="00533F9A"/>
    <w:pPr>
      <w:spacing w:after="180"/>
      <w:jc w:val="left"/>
    </w:pPr>
    <w:rPr>
      <w:lang w:eastAsia="en-US"/>
    </w:rPr>
  </w:style>
  <w:style w:type="paragraph" w:customStyle="1" w:styleId="Proposal">
    <w:name w:val="Proposal"/>
    <w:basedOn w:val="Normal"/>
    <w:rsid w:val="00533F9A"/>
    <w:pPr>
      <w:numPr>
        <w:numId w:val="3"/>
      </w:numPr>
      <w:tabs>
        <w:tab w:val="clear" w:pos="1304"/>
        <w:tab w:val="left" w:pos="1701"/>
      </w:tabs>
      <w:ind w:left="1701" w:hanging="1701"/>
    </w:pPr>
    <w:rPr>
      <w:b/>
      <w:bCs/>
    </w:rPr>
  </w:style>
  <w:style w:type="character" w:customStyle="1" w:styleId="BodyTextChar">
    <w:name w:val="Body Text Char"/>
    <w:link w:val="BodyText"/>
    <w:rsid w:val="00533F9A"/>
    <w:rPr>
      <w:rFonts w:ascii="Arial" w:hAnsi="Arial"/>
      <w:lang w:val="en-GB" w:eastAsia="zh-CN"/>
    </w:rPr>
  </w:style>
  <w:style w:type="paragraph" w:customStyle="1" w:styleId="B5">
    <w:name w:val="B5"/>
    <w:basedOn w:val="List5"/>
    <w:rsid w:val="00533F9A"/>
    <w:pPr>
      <w:spacing w:after="180"/>
      <w:jc w:val="left"/>
    </w:pPr>
    <w:rPr>
      <w:lang w:eastAsia="en-US"/>
    </w:rPr>
  </w:style>
  <w:style w:type="paragraph" w:customStyle="1" w:styleId="EX">
    <w:name w:val="EX"/>
    <w:basedOn w:val="Normal"/>
    <w:rsid w:val="00533F9A"/>
    <w:pPr>
      <w:keepLines/>
      <w:spacing w:after="180"/>
      <w:ind w:left="1702" w:hanging="1418"/>
      <w:jc w:val="left"/>
    </w:pPr>
    <w:rPr>
      <w:lang w:eastAsia="en-US"/>
    </w:rPr>
  </w:style>
  <w:style w:type="paragraph" w:customStyle="1" w:styleId="EW">
    <w:name w:val="EW"/>
    <w:basedOn w:val="EX"/>
    <w:rsid w:val="00533F9A"/>
    <w:pPr>
      <w:spacing w:after="0"/>
    </w:pPr>
  </w:style>
  <w:style w:type="paragraph" w:customStyle="1" w:styleId="TAL">
    <w:name w:val="TAL"/>
    <w:basedOn w:val="Normal"/>
    <w:rsid w:val="00533F9A"/>
    <w:pPr>
      <w:keepNext/>
      <w:keepLines/>
      <w:spacing w:after="0"/>
      <w:jc w:val="left"/>
    </w:pPr>
    <w:rPr>
      <w:sz w:val="18"/>
      <w:lang w:eastAsia="en-US"/>
    </w:rPr>
  </w:style>
  <w:style w:type="paragraph" w:customStyle="1" w:styleId="TAC">
    <w:name w:val="TAC"/>
    <w:basedOn w:val="TAL"/>
    <w:rsid w:val="00533F9A"/>
    <w:pPr>
      <w:jc w:val="center"/>
    </w:pPr>
  </w:style>
  <w:style w:type="paragraph" w:customStyle="1" w:styleId="TAH">
    <w:name w:val="TAH"/>
    <w:basedOn w:val="TAC"/>
    <w:rsid w:val="00533F9A"/>
    <w:rPr>
      <w:b/>
    </w:rPr>
  </w:style>
  <w:style w:type="paragraph" w:customStyle="1" w:styleId="TAN">
    <w:name w:val="TAN"/>
    <w:basedOn w:val="TAL"/>
    <w:rsid w:val="00533F9A"/>
    <w:pPr>
      <w:ind w:left="851" w:hanging="851"/>
    </w:pPr>
  </w:style>
  <w:style w:type="paragraph" w:customStyle="1" w:styleId="TAR">
    <w:name w:val="TAR"/>
    <w:basedOn w:val="TAL"/>
    <w:rsid w:val="00533F9A"/>
    <w:pPr>
      <w:jc w:val="right"/>
    </w:pPr>
  </w:style>
  <w:style w:type="paragraph" w:customStyle="1" w:styleId="TH">
    <w:name w:val="TH"/>
    <w:basedOn w:val="Normal"/>
    <w:rsid w:val="00533F9A"/>
    <w:pPr>
      <w:keepNext/>
      <w:keepLines/>
      <w:spacing w:before="60" w:after="180"/>
      <w:jc w:val="center"/>
    </w:pPr>
    <w:rPr>
      <w:b/>
      <w:lang w:eastAsia="en-US"/>
    </w:rPr>
  </w:style>
  <w:style w:type="paragraph" w:customStyle="1" w:styleId="TF">
    <w:name w:val="TF"/>
    <w:basedOn w:val="TH"/>
    <w:rsid w:val="00533F9A"/>
    <w:pPr>
      <w:keepNext w:val="0"/>
      <w:spacing w:before="0" w:after="240"/>
    </w:pPr>
  </w:style>
  <w:style w:type="paragraph" w:customStyle="1" w:styleId="TT">
    <w:name w:val="TT"/>
    <w:basedOn w:val="Heading1"/>
    <w:next w:val="Normal"/>
    <w:rsid w:val="00533F9A"/>
    <w:pPr>
      <w:numPr>
        <w:numId w:val="0"/>
      </w:numPr>
      <w:ind w:left="1134" w:hanging="1134"/>
      <w:outlineLvl w:val="9"/>
    </w:pPr>
    <w:rPr>
      <w:rFonts w:cs="Times New Roman"/>
      <w:szCs w:val="20"/>
      <w:lang w:eastAsia="en-US"/>
    </w:rPr>
  </w:style>
  <w:style w:type="paragraph" w:customStyle="1" w:styleId="ZA">
    <w:name w:val="ZA"/>
    <w:rsid w:val="00533F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3F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3F9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3F9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3F9A"/>
  </w:style>
  <w:style w:type="paragraph" w:customStyle="1" w:styleId="ZH">
    <w:name w:val="ZH"/>
    <w:rsid w:val="00533F9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3F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3F9A"/>
    <w:pPr>
      <w:framePr w:hRule="auto" w:wrap="notBeside" w:y="852"/>
    </w:pPr>
    <w:rPr>
      <w:i w:val="0"/>
      <w:sz w:val="40"/>
    </w:rPr>
  </w:style>
  <w:style w:type="paragraph" w:customStyle="1" w:styleId="ZU">
    <w:name w:val="ZU"/>
    <w:rsid w:val="00533F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3F9A"/>
    <w:pPr>
      <w:framePr w:wrap="notBeside" w:y="16161"/>
    </w:pPr>
  </w:style>
  <w:style w:type="paragraph" w:customStyle="1" w:styleId="FP">
    <w:name w:val="FP"/>
    <w:basedOn w:val="Normal"/>
    <w:rsid w:val="00533F9A"/>
    <w:pPr>
      <w:spacing w:after="0"/>
      <w:jc w:val="left"/>
    </w:pPr>
    <w:rPr>
      <w:lang w:eastAsia="en-US"/>
    </w:rPr>
  </w:style>
  <w:style w:type="paragraph" w:customStyle="1" w:styleId="Observation">
    <w:name w:val="Observation"/>
    <w:basedOn w:val="Proposal"/>
    <w:qFormat/>
    <w:rsid w:val="00533F9A"/>
    <w:pPr>
      <w:numPr>
        <w:numId w:val="13"/>
      </w:numPr>
      <w:ind w:left="1701" w:hanging="1701"/>
    </w:pPr>
  </w:style>
  <w:style w:type="paragraph" w:styleId="TableofFigures">
    <w:name w:val="table of figures"/>
    <w:basedOn w:val="Normal"/>
    <w:next w:val="Normal"/>
    <w:uiPriority w:val="99"/>
    <w:rsid w:val="00533F9A"/>
    <w:pPr>
      <w:ind w:left="1418" w:hanging="1418"/>
      <w:jc w:val="left"/>
    </w:pPr>
    <w:rPr>
      <w:b/>
    </w:rPr>
  </w:style>
  <w:style w:type="paragraph" w:customStyle="1" w:styleId="Doc-text2">
    <w:name w:val="Doc-text2"/>
    <w:basedOn w:val="Normal"/>
    <w:link w:val="Doc-text2Char"/>
    <w:qFormat/>
    <w:rsid w:val="00533F9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33F9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5NUHHDQN7SK2-1476151046-15306</_dlc_DocId>
    <_dlc_DocIdUrl xmlns="f166a696-7b5b-4ccd-9f0c-ffde0cceec81">
      <Url>https://ericsson.sharepoint.com/sites/star/_layouts/15/DocIdRedir.aspx?ID=5NUHHDQN7SK2-1476151046-15306</Url>
      <Description>5NUHHDQN7SK2-1476151046-15306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172519B7-C8CD-452D-B4D0-74B82EA6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B6FEC3C0-18B6-4C54-8AF9-EFE51DF7C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3</Pages>
  <Words>959</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3</cp:revision>
  <cp:lastPrinted>2008-01-31T16:09:00Z</cp:lastPrinted>
  <dcterms:created xsi:type="dcterms:W3CDTF">2018-01-11T22:25:00Z</dcterms:created>
  <dcterms:modified xsi:type="dcterms:W3CDTF">2018-01-12T01:22:00Z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8e4a7109-1868-4a6d-be37-5562f2993bf4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